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rFonts w:hint="default"/>
          <w:b/>
          <w:sz w:val="24"/>
          <w:lang w:val="en-US"/>
        </w:rPr>
        <w:t>1</w:t>
      </w:r>
      <w:r>
        <w:rPr>
          <w:b/>
          <w:sz w:val="24"/>
        </w:rPr>
        <w:fldChar w:fldCharType="end"/>
      </w:r>
      <w:r>
        <w:rPr>
          <w:rFonts w:hint="default"/>
          <w:b/>
          <w:sz w:val="24"/>
          <w:lang w:val="en-US"/>
        </w:rPr>
        <w:t>0</w:t>
      </w:r>
      <w:r>
        <w:rPr>
          <w:b/>
          <w:i/>
          <w:sz w:val="28"/>
        </w:rPr>
        <w:tab/>
      </w:r>
      <w:r>
        <w:rPr>
          <w:b/>
          <w:i w:val="0"/>
          <w:iCs/>
          <w:sz w:val="24"/>
          <w:szCs w:val="18"/>
        </w:rPr>
        <w:fldChar w:fldCharType="begin"/>
      </w:r>
      <w:r>
        <w:rPr>
          <w:b/>
          <w:i w:val="0"/>
          <w:iCs/>
          <w:sz w:val="24"/>
          <w:szCs w:val="18"/>
        </w:rPr>
        <w:instrText xml:space="preserve"> DOCPROPERTY  Tdoc#  \* MERGEFORMAT </w:instrText>
      </w:r>
      <w:r>
        <w:rPr>
          <w:b/>
          <w:i w:val="0"/>
          <w:iCs/>
          <w:sz w:val="24"/>
          <w:szCs w:val="18"/>
        </w:rPr>
        <w:fldChar w:fldCharType="separate"/>
      </w:r>
      <w:r>
        <w:rPr>
          <w:rFonts w:hint="eastAsia"/>
          <w:b/>
          <w:i w:val="0"/>
          <w:iCs/>
          <w:sz w:val="24"/>
          <w:szCs w:val="18"/>
        </w:rPr>
        <w:t>R1-2205953</w:t>
      </w:r>
      <w:r>
        <w:rPr>
          <w:b/>
          <w:i w:val="0"/>
          <w:iCs/>
          <w:sz w:val="24"/>
          <w:szCs w:val="18"/>
        </w:rPr>
        <w:fldChar w:fldCharType="end"/>
      </w:r>
    </w:p>
    <w:p>
      <w:pPr>
        <w:pStyle w:val="117"/>
        <w:outlineLvl w:val="0"/>
        <w:rPr>
          <w:b/>
          <w:sz w:val="24"/>
          <w:szCs w:val="24"/>
        </w:rPr>
      </w:pPr>
      <w:r>
        <w:rPr>
          <w:rFonts w:hint="eastAsia" w:ascii="Arial" w:hAnsi="Arial" w:eastAsia="MS Mincho" w:cs="Arial"/>
          <w:b/>
          <w:bCs/>
          <w:sz w:val="24"/>
          <w:szCs w:val="24"/>
          <w:lang w:eastAsia="ja-JP"/>
        </w:rPr>
        <w:t>Toulouse, France, August 22</w:t>
      </w:r>
      <w:r>
        <w:rPr>
          <w:rFonts w:hint="eastAsia" w:ascii="Arial" w:hAnsi="Arial" w:eastAsia="MS Mincho" w:cs="Arial"/>
          <w:b/>
          <w:bCs/>
          <w:sz w:val="24"/>
          <w:szCs w:val="24"/>
          <w:vertAlign w:val="superscript"/>
          <w:lang w:eastAsia="ja-JP"/>
        </w:rPr>
        <w:t>nd</w:t>
      </w:r>
      <w:r>
        <w:rPr>
          <w:rFonts w:hint="eastAsia" w:ascii="Arial" w:hAnsi="Arial" w:eastAsia="MS Mincho" w:cs="Arial"/>
          <w:b/>
          <w:bCs/>
          <w:sz w:val="24"/>
          <w:szCs w:val="24"/>
          <w:lang w:eastAsia="ja-JP"/>
        </w:rPr>
        <w:t xml:space="preserve"> – 26</w:t>
      </w:r>
      <w:r>
        <w:rPr>
          <w:rFonts w:hint="eastAsia" w:ascii="Arial" w:hAnsi="Arial" w:eastAsia="MS Mincho" w:cs="Arial"/>
          <w:b/>
          <w:bCs/>
          <w:sz w:val="24"/>
          <w:szCs w:val="24"/>
          <w:vertAlign w:val="superscript"/>
          <w:lang w:eastAsia="ja-JP"/>
        </w:rPr>
        <w:t>th</w:t>
      </w:r>
      <w:r>
        <w:rPr>
          <w:rFonts w:hint="eastAsia" w:ascii="Arial" w:hAnsi="Arial"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default"/>
                <w:b/>
                <w:sz w:val="28"/>
                <w:lang w:val="en-US"/>
              </w:rPr>
              <w:t>4</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default"/>
                <w:b/>
                <w:sz w:val="28"/>
                <w:lang w:val="en-US"/>
              </w:rPr>
              <w:t>17</w:t>
            </w:r>
            <w:r>
              <w:rPr>
                <w:b/>
                <w:sz w:val="28"/>
              </w:rPr>
              <w:t>.</w:t>
            </w:r>
            <w:r>
              <w:rPr>
                <w:rFonts w:hint="default"/>
                <w:b/>
                <w:sz w:val="28"/>
                <w:lang w:val="en-US" w:eastAsia="zh-CN"/>
              </w:rPr>
              <w:t>2</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rFonts w:hint="default" w:eastAsiaTheme="minorEastAsia"/>
                <w:lang w:val="en-US" w:eastAsia="zh-CN"/>
              </w:rPr>
            </w:pPr>
            <w:r>
              <w:rPr>
                <w:rFonts w:hint="default" w:eastAsiaTheme="minorEastAsia"/>
                <w:lang w:val="en-US" w:eastAsia="zh-CN"/>
              </w:rPr>
              <w:t>Correction on available slot counting for inter-cell multi-TRPs</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rPr>
                <w:rFonts w:hint="eastAsia"/>
              </w:rPr>
              <w:t>NR_cov_enh-Core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w:t>
            </w:r>
            <w:r>
              <w:rPr>
                <w:rFonts w:hint="default"/>
                <w:lang w:val="en-US"/>
              </w:rPr>
              <w:t>2</w:t>
            </w:r>
            <w:r>
              <w:t>-</w:t>
            </w:r>
            <w:r>
              <w:rPr>
                <w:rFonts w:hint="default"/>
                <w:lang w:val="en-US" w:eastAsia="zh-CN"/>
              </w:rPr>
              <w:t>08</w:t>
            </w:r>
            <w:r>
              <w:t>-</w:t>
            </w:r>
            <w:r>
              <w:rPr>
                <w:rFonts w:hint="default"/>
                <w:lang w:val="en-US"/>
              </w:rPr>
              <w:t>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rFonts w:hint="default"/>
                <w:lang w:val="en-US"/>
              </w:rPr>
            </w:pPr>
            <w:r>
              <w:fldChar w:fldCharType="begin"/>
            </w:r>
            <w:r>
              <w:instrText xml:space="preserve"> DOCPROPERTY  Release  \* MERGEFORMAT </w:instrText>
            </w:r>
            <w:r>
              <w:fldChar w:fldCharType="separate"/>
            </w:r>
            <w:r>
              <w:t>Rel-1</w:t>
            </w:r>
            <w:r>
              <w:fldChar w:fldCharType="end"/>
            </w:r>
            <w:r>
              <w:rPr>
                <w:rFonts w:hint="default"/>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rFonts w:hint="default"/>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 xml:space="preserve">It was agreed that the SSB in the serving cell is used for the available slot determination for PUSCH repetition Type A enhancements in Rel-17 since the PUSCH overlapping with the SSB cannot be transmitted anyway in TDD operation. In inter-cell multi-TRPs operation, the SSB of another cell can be configured for the UE. And it was further agreed </w:t>
            </w:r>
            <w:r>
              <w:rPr>
                <w:rFonts w:hint="eastAsia"/>
                <w:lang w:val="en-US" w:eastAsia="zh-CN"/>
              </w:rPr>
              <w:t xml:space="preserve">in Rel-17 MIMO </w:t>
            </w:r>
            <w:r>
              <w:rPr>
                <w:rFonts w:hint="default"/>
                <w:lang w:val="en-US" w:eastAsia="zh-CN"/>
              </w:rPr>
              <w:t xml:space="preserve">that any uplink signal transmission to the serving cell overlapping with the SSB of another cell should be dropped in TDD operation when the unified TCI state is not applied. Therefore, the SSB of another cell should also be used for the available slot determination for PUSCH repetition Type A enhancements. This is </w:t>
            </w:r>
            <w:bookmarkStart w:id="19" w:name="_GoBack"/>
            <w:r>
              <w:rPr>
                <w:rFonts w:hint="default"/>
                <w:lang w:val="en-US" w:eastAsia="zh-CN"/>
              </w:rPr>
              <w:t xml:space="preserve">also </w:t>
            </w:r>
            <w:bookmarkEnd w:id="19"/>
            <w:r>
              <w:rPr>
                <w:rFonts w:hint="default"/>
                <w:lang w:val="en-US" w:eastAsia="zh-CN"/>
              </w:rPr>
              <w:t>to adopt the Option 2 discussed in R1-2205421.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Add the UE behavior for the available slot determination for PUSCH repetition Type A enhancements in inter-cell multi-TRPs</w:t>
            </w:r>
          </w:p>
          <w:p>
            <w:pPr>
              <w:pStyle w:val="117"/>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The UE behavior for the available slot determination for PUSCH repetition Type A enhancements in inter-cell multi-TRPs is unclear</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6.1.2.1, 6.1.2.3.1, 6.1.2.3.3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common understanding.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rPr>
          <w:color w:val="000000"/>
        </w:rPr>
      </w:pPr>
      <w:bookmarkStart w:id="2" w:name="_Toc11352143"/>
      <w:bookmarkStart w:id="3" w:name="_Toc20318033"/>
      <w:bookmarkStart w:id="4" w:name="_Toc29673204"/>
      <w:bookmarkStart w:id="5" w:name="_Toc106695658"/>
      <w:bookmarkStart w:id="6" w:name="_Toc27299931"/>
      <w:bookmarkStart w:id="7" w:name="_Toc29673345"/>
      <w:bookmarkStart w:id="8" w:name="_Toc29674338"/>
      <w:bookmarkStart w:id="9" w:name="_Toc45810613"/>
      <w:bookmarkStart w:id="10" w:name="_Toc36645568"/>
      <w:r>
        <w:rPr>
          <w:color w:val="000000"/>
        </w:rPr>
        <w:t>6.1.2.1</w:t>
      </w:r>
      <w:r>
        <w:rPr>
          <w:color w:val="000000"/>
        </w:rPr>
        <w:tab/>
      </w:r>
      <w:r>
        <w:rPr>
          <w:color w:val="000000"/>
        </w:rPr>
        <w:t>Resource allocation in time domain</w:t>
      </w:r>
      <w:bookmarkEnd w:id="2"/>
      <w:bookmarkEnd w:id="3"/>
      <w:bookmarkEnd w:id="4"/>
      <w:bookmarkEnd w:id="5"/>
      <w:bookmarkEnd w:id="6"/>
      <w:bookmarkEnd w:id="7"/>
      <w:bookmarkEnd w:id="8"/>
      <w:bookmarkEnd w:id="9"/>
      <w:bookmarkEnd w:id="10"/>
    </w:p>
    <w:p>
      <w:pPr>
        <w:bidi w:val="0"/>
        <w:spacing w:before="120" w:line="280" w:lineRule="atLeast"/>
      </w:pPr>
      <w:bookmarkStart w:id="11" w:name="_Toc44515882"/>
      <w:bookmarkStart w:id="12" w:name="_Toc83290987"/>
      <w:bookmarkStart w:id="13" w:name="_Toc36117390"/>
      <w:bookmarkStart w:id="14" w:name="_Toc20317982"/>
      <w:bookmarkStart w:id="15" w:name="_Toc11352092"/>
      <w:bookmarkStart w:id="16" w:name="_Toc27299880"/>
      <w:r>
        <w:rPr>
          <w:b/>
          <w:iCs/>
          <w:color w:val="FF0000"/>
          <w:sz w:val="28"/>
        </w:rPr>
        <w:t>&lt;Unchanged parts are omitted&gt;</w:t>
      </w:r>
    </w:p>
    <w:bookmarkEnd w:id="11"/>
    <w:bookmarkEnd w:id="12"/>
    <w:bookmarkEnd w:id="13"/>
    <w:bookmarkEnd w:id="14"/>
    <w:bookmarkEnd w:id="15"/>
    <w:bookmarkEnd w:id="16"/>
    <w:p>
      <w:r>
        <w:t>For unpaired spectrum:</w:t>
      </w:r>
    </w:p>
    <w:p>
      <w:pPr>
        <w:pStyle w:val="11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pPr>
        <w:pStyle w:val="112"/>
      </w:pPr>
      <w:r>
        <w:t>-</w:t>
      </w:r>
      <w:r>
        <w:tab/>
      </w:r>
      <w:r>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rPr>
          <w:rFonts w:hint="default"/>
          <w:i/>
          <w:iCs/>
          <w:color w:val="FF0000"/>
          <w:u w:val="single"/>
          <w:lang w:val="en-US"/>
        </w:rPr>
        <w:t xml:space="preserve"> </w:t>
      </w:r>
      <w:r>
        <w:rPr>
          <w:rFonts w:eastAsia="游明朝"/>
          <w:color w:val="FF0000"/>
          <w:u w:val="single"/>
        </w:rPr>
        <w:t xml:space="preserve">in </w:t>
      </w:r>
      <w:r>
        <w:rPr>
          <w:rFonts w:eastAsia="游明朝"/>
          <w:i/>
          <w:iCs/>
          <w:color w:val="FF0000"/>
          <w:u w:val="single"/>
        </w:rPr>
        <w:t>SIB1</w:t>
      </w:r>
      <w:r>
        <w:rPr>
          <w:rFonts w:eastAsia="游明朝"/>
          <w:color w:val="FF0000"/>
          <w:u w:val="single"/>
        </w:rPr>
        <w:t xml:space="preserve"> or by </w:t>
      </w:r>
      <w:r>
        <w:rPr>
          <w:rFonts w:eastAsia="游明朝"/>
          <w:i/>
          <w:iCs/>
          <w:color w:val="FF0000"/>
          <w:u w:val="single"/>
        </w:rPr>
        <w:t>ssb-PositionsInBurst</w:t>
      </w:r>
      <w:r>
        <w:rPr>
          <w:rFonts w:eastAsia="游明朝"/>
          <w:color w:val="FF0000"/>
          <w:u w:val="single"/>
        </w:rPr>
        <w:t xml:space="preserve"> in </w:t>
      </w:r>
      <w:r>
        <w:rPr>
          <w:rFonts w:eastAsia="游明朝"/>
          <w:i/>
          <w:iCs/>
          <w:color w:val="FF0000"/>
          <w:u w:val="single"/>
        </w:rPr>
        <w:t>ServingCellConfigCommon</w:t>
      </w:r>
      <w:r>
        <w:rPr>
          <w:rFonts w:eastAsia="游明朝"/>
          <w:color w:val="FF0000"/>
          <w:u w:val="single"/>
        </w:rPr>
        <w:t xml:space="preserve"> </w:t>
      </w:r>
      <w:r>
        <w:rPr>
          <w:rFonts w:eastAsia="游明朝"/>
          <w:iCs/>
          <w:color w:val="FF0000"/>
          <w:u w:val="single"/>
        </w:rPr>
        <w:t>or</w:t>
      </w:r>
      <w:r>
        <w:rPr>
          <w:rFonts w:hint="default" w:eastAsia="游明朝"/>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pPr>
        <w:pStyle w:val="111"/>
      </w:pPr>
      <w:r>
        <w:rPr>
          <w:color w:val="000000"/>
        </w:rPr>
        <w:t>-</w:t>
      </w:r>
      <w:r>
        <w:rPr>
          <w:color w:val="000000"/>
        </w:rPr>
        <w:tab/>
      </w:r>
      <w:r>
        <w:rPr>
          <w:color w:val="000000"/>
        </w:rPr>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pPr>
        <w:pStyle w:val="111"/>
      </w:pPr>
      <w:r>
        <w:t>-</w:t>
      </w:r>
      <w:r>
        <w:tab/>
      </w:r>
      <w:r>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pPr>
        <w:pStyle w:val="112"/>
      </w:pPr>
      <w:r>
        <w:t>-</w:t>
      </w:r>
      <w:r>
        <w:tab/>
      </w:r>
      <w:r>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rPr>
          <w:rFonts w:hint="default"/>
          <w:i/>
          <w:iCs/>
          <w:color w:val="FF0000"/>
          <w:u w:val="single"/>
          <w:lang w:val="en-US"/>
        </w:rPr>
        <w:t xml:space="preserve"> </w:t>
      </w:r>
      <w:r>
        <w:rPr>
          <w:rFonts w:eastAsia="游明朝"/>
          <w:color w:val="FF0000"/>
          <w:u w:val="single"/>
        </w:rPr>
        <w:t xml:space="preserve">in </w:t>
      </w:r>
      <w:r>
        <w:rPr>
          <w:rFonts w:eastAsia="游明朝"/>
          <w:i/>
          <w:iCs/>
          <w:color w:val="FF0000"/>
          <w:u w:val="single"/>
        </w:rPr>
        <w:t>SIB1</w:t>
      </w:r>
      <w:r>
        <w:rPr>
          <w:rFonts w:eastAsia="游明朝"/>
          <w:color w:val="FF0000"/>
          <w:u w:val="single"/>
        </w:rPr>
        <w:t xml:space="preserve"> or by </w:t>
      </w:r>
      <w:r>
        <w:rPr>
          <w:rFonts w:eastAsia="游明朝"/>
          <w:i/>
          <w:iCs/>
          <w:color w:val="FF0000"/>
          <w:u w:val="single"/>
        </w:rPr>
        <w:t>ssb-PositionsInBurst</w:t>
      </w:r>
      <w:r>
        <w:rPr>
          <w:rFonts w:eastAsia="游明朝"/>
          <w:color w:val="FF0000"/>
          <w:u w:val="single"/>
        </w:rPr>
        <w:t xml:space="preserve"> in </w:t>
      </w:r>
      <w:r>
        <w:rPr>
          <w:rFonts w:eastAsia="游明朝"/>
          <w:i/>
          <w:iCs/>
          <w:color w:val="FF0000"/>
          <w:u w:val="single"/>
        </w:rPr>
        <w:t>ServingCellConfigCommon</w:t>
      </w:r>
      <w:r>
        <w:rPr>
          <w:rFonts w:eastAsia="游明朝"/>
          <w:color w:val="FF0000"/>
          <w:u w:val="single"/>
        </w:rPr>
        <w:t xml:space="preserve"> </w:t>
      </w:r>
      <w:r>
        <w:rPr>
          <w:rFonts w:eastAsia="游明朝"/>
          <w:iCs/>
          <w:color w:val="FF0000"/>
          <w:u w:val="single"/>
        </w:rPr>
        <w:t>or</w:t>
      </w:r>
      <w:r>
        <w:rPr>
          <w:rFonts w:hint="default" w:eastAsia="游明朝"/>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pPr>
        <w:pStyle w:val="111"/>
      </w:pPr>
      <w:r>
        <w:t>-</w:t>
      </w:r>
      <w:r>
        <w:tab/>
      </w:r>
      <w:r>
        <w:t xml:space="preserve">The UE determines </w:t>
      </w:r>
      <m:oMath>
        <m:r>
          <w:rPr>
            <w:rFonts w:ascii="Cambria Math" w:hAnsi="Cambria Math"/>
          </w:rPr>
          <m:t>N∙K</m:t>
        </m:r>
      </m:oMath>
      <w:r>
        <w:t xml:space="preserve"> slots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RAR UL grant. </w:t>
      </w:r>
    </w:p>
    <w:p>
      <w:pPr>
        <w:pStyle w:val="112"/>
      </w:pPr>
      <w:r>
        <w:rPr>
          <w:rFonts w:eastAsia="Batang"/>
        </w:rPr>
        <w:t>-</w:t>
      </w:r>
      <w:r>
        <w:rPr>
          <w:rFonts w:eastAsia="Batang"/>
        </w:rPr>
        <w:tab/>
      </w:r>
      <w:r>
        <w:rPr>
          <w:rFonts w:eastAsia="Batang"/>
        </w:rPr>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tdd-UL-DL-ConfigurationCommon</w:t>
      </w:r>
      <w:r>
        <w:t xml:space="preserve"> if provided, or a symbol of an SS/PBCH block with index provided by </w:t>
      </w:r>
      <w:r>
        <w:rPr>
          <w:i/>
          <w:iCs/>
        </w:rPr>
        <w:t>ssb-PositionsInBurst</w:t>
      </w:r>
      <w:r>
        <w:rPr>
          <w:rFonts w:hint="default"/>
          <w:i/>
          <w:iCs/>
          <w:color w:val="FF0000"/>
          <w:u w:val="single"/>
          <w:lang w:val="en-US"/>
        </w:rPr>
        <w:t xml:space="preserve"> </w:t>
      </w:r>
      <w:r>
        <w:rPr>
          <w:rFonts w:eastAsia="游明朝"/>
          <w:color w:val="FF0000"/>
          <w:u w:val="single"/>
        </w:rPr>
        <w:t xml:space="preserve">in </w:t>
      </w:r>
      <w:r>
        <w:rPr>
          <w:rFonts w:eastAsia="游明朝"/>
          <w:i/>
          <w:iCs/>
          <w:color w:val="FF0000"/>
          <w:u w:val="single"/>
        </w:rPr>
        <w:t>SIB1</w:t>
      </w:r>
      <w:r>
        <w:rPr>
          <w:rFonts w:eastAsia="游明朝"/>
          <w:color w:val="FF0000"/>
          <w:u w:val="single"/>
        </w:rPr>
        <w:t xml:space="preserve"> or by </w:t>
      </w:r>
      <w:r>
        <w:rPr>
          <w:rFonts w:eastAsia="游明朝"/>
          <w:i/>
          <w:iCs/>
          <w:color w:val="FF0000"/>
          <w:u w:val="single"/>
        </w:rPr>
        <w:t>ssb-PositionsInBurst</w:t>
      </w:r>
      <w:r>
        <w:rPr>
          <w:rFonts w:eastAsia="游明朝"/>
          <w:color w:val="FF0000"/>
          <w:u w:val="single"/>
        </w:rPr>
        <w:t xml:space="preserve"> in </w:t>
      </w:r>
      <w:r>
        <w:rPr>
          <w:rFonts w:eastAsia="游明朝"/>
          <w:i/>
          <w:iCs/>
          <w:color w:val="FF0000"/>
          <w:u w:val="single"/>
        </w:rPr>
        <w:t>ServingCellConfigCommon</w:t>
      </w:r>
      <w:r>
        <w:rPr>
          <w:rFonts w:eastAsia="游明朝"/>
          <w:color w:val="FF0000"/>
          <w:u w:val="single"/>
        </w:rPr>
        <w:t xml:space="preserve"> </w:t>
      </w:r>
      <w:r>
        <w:rPr>
          <w:rFonts w:eastAsia="游明朝"/>
          <w:iCs/>
          <w:color w:val="FF0000"/>
          <w:u w:val="single"/>
        </w:rPr>
        <w:t>or</w:t>
      </w:r>
      <w:r>
        <w:rPr>
          <w:rFonts w:hint="default" w:eastAsia="游明朝"/>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pPr>
        <w:pStyle w:val="111"/>
      </w:pPr>
      <w:r>
        <w:t>-</w:t>
      </w:r>
      <w:r>
        <w:tab/>
      </w:r>
      <w:r>
        <w:t xml:space="preserve">The UE determines </w:t>
      </w:r>
      <m:oMath>
        <m:r>
          <w:rPr>
            <w:rFonts w:ascii="Cambria Math" w:hAnsi="Cambria Math"/>
          </w:rPr>
          <m:t>N∙K</m:t>
        </m:r>
      </m:oMath>
      <w:r>
        <w:t xml:space="preser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DCI scheduling the PUSCH.</w:t>
      </w:r>
    </w:p>
    <w:p>
      <w:pPr>
        <w:pStyle w:val="112"/>
      </w:pPr>
      <w:r>
        <w:rPr>
          <w:rFonts w:eastAsia="Batang"/>
        </w:rPr>
        <w:t>-</w:t>
      </w:r>
      <w:r>
        <w:rPr>
          <w:rFonts w:eastAsia="Batang"/>
        </w:rPr>
        <w:tab/>
      </w:r>
      <w:r>
        <w:rPr>
          <w:rFonts w:eastAsia="Batang"/>
        </w:rPr>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tdd-UL-DL-ConfigurationCommon</w:t>
      </w:r>
      <w:r>
        <w:t xml:space="preserve"> if provided, or a symbol of an SS/PBCH block with index provided by </w:t>
      </w:r>
      <w:r>
        <w:rPr>
          <w:i/>
          <w:iCs/>
        </w:rPr>
        <w:t>ssb-PositionsInBurst</w:t>
      </w:r>
      <w:r>
        <w:rPr>
          <w:rFonts w:hint="default"/>
          <w:i/>
          <w:iCs/>
          <w:color w:val="FF0000"/>
          <w:u w:val="single"/>
          <w:lang w:val="en-US"/>
        </w:rPr>
        <w:t xml:space="preserve"> </w:t>
      </w:r>
      <w:r>
        <w:rPr>
          <w:rFonts w:eastAsia="游明朝"/>
          <w:color w:val="FF0000"/>
          <w:u w:val="single"/>
        </w:rPr>
        <w:t xml:space="preserve">in </w:t>
      </w:r>
      <w:r>
        <w:rPr>
          <w:rFonts w:eastAsia="游明朝"/>
          <w:i/>
          <w:iCs/>
          <w:color w:val="FF0000"/>
          <w:u w:val="single"/>
        </w:rPr>
        <w:t>SIB1</w:t>
      </w:r>
      <w:r>
        <w:rPr>
          <w:rFonts w:eastAsia="游明朝"/>
          <w:color w:val="FF0000"/>
          <w:u w:val="single"/>
        </w:rPr>
        <w:t xml:space="preserve"> or by </w:t>
      </w:r>
      <w:r>
        <w:rPr>
          <w:rFonts w:eastAsia="游明朝"/>
          <w:i/>
          <w:iCs/>
          <w:color w:val="FF0000"/>
          <w:u w:val="single"/>
        </w:rPr>
        <w:t>ssb-PositionsInBurst</w:t>
      </w:r>
      <w:r>
        <w:rPr>
          <w:rFonts w:eastAsia="游明朝"/>
          <w:color w:val="FF0000"/>
          <w:u w:val="single"/>
        </w:rPr>
        <w:t xml:space="preserve"> in </w:t>
      </w:r>
      <w:r>
        <w:rPr>
          <w:rFonts w:eastAsia="游明朝"/>
          <w:i/>
          <w:iCs/>
          <w:color w:val="FF0000"/>
          <w:u w:val="single"/>
        </w:rPr>
        <w:t>ServingCellConfigCommon</w:t>
      </w:r>
      <w:r>
        <w:rPr>
          <w:rFonts w:eastAsia="游明朝"/>
          <w:color w:val="FF0000"/>
          <w:u w:val="single"/>
        </w:rPr>
        <w:t xml:space="preserve"> </w:t>
      </w:r>
      <w:r>
        <w:rPr>
          <w:rFonts w:eastAsia="游明朝"/>
          <w:iCs/>
          <w:color w:val="FF0000"/>
          <w:u w:val="single"/>
        </w:rPr>
        <w:t>or</w:t>
      </w:r>
      <w:r>
        <w:rPr>
          <w:rFonts w:hint="default" w:eastAsia="游明朝"/>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r>
        <w:t>For paired spectrum and SUL band:</w:t>
      </w:r>
    </w:p>
    <w:p>
      <w:pPr>
        <w:pStyle w:val="111"/>
      </w:pPr>
      <w:r>
        <w:t>-</w:t>
      </w:r>
      <w:r>
        <w:tab/>
      </w:r>
      <w:r>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pPr>
        <w:pStyle w:val="111"/>
      </w:pPr>
      <w:r>
        <w:t>-</w:t>
      </w:r>
      <w:r>
        <w:tab/>
      </w:r>
      <w:r>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r>
        <w:rPr>
          <w:i/>
          <w:iCs/>
        </w:rPr>
        <w:t>AvailableSlotCounting</w:t>
      </w:r>
      <w:r>
        <w:t xml:space="preserve"> is enabled </w:t>
      </w:r>
      <w:r>
        <w:rPr>
          <w:color w:val="000000" w:themeColor="text1"/>
          <w:lang w:val="en-US"/>
          <w14:textFill>
            <w14:solidFill>
              <w14:schemeClr w14:val="tx1"/>
            </w14:solidFill>
          </w14:textFill>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ssb-PositionsInBurst</w:t>
      </w:r>
      <w:r>
        <w:rPr>
          <w:rFonts w:hint="default"/>
          <w:i/>
          <w:iCs/>
          <w:color w:val="FF0000"/>
          <w:u w:val="single"/>
          <w:lang w:val="en-US"/>
        </w:rPr>
        <w:t xml:space="preserve"> </w:t>
      </w:r>
      <w:r>
        <w:rPr>
          <w:rFonts w:eastAsia="游明朝"/>
          <w:color w:val="FF0000"/>
          <w:u w:val="single"/>
        </w:rPr>
        <w:t xml:space="preserve">in </w:t>
      </w:r>
      <w:r>
        <w:rPr>
          <w:rFonts w:eastAsia="游明朝"/>
          <w:i/>
          <w:iCs/>
          <w:color w:val="FF0000"/>
          <w:u w:val="single"/>
        </w:rPr>
        <w:t>SIB1</w:t>
      </w:r>
      <w:r>
        <w:rPr>
          <w:rFonts w:eastAsia="游明朝"/>
          <w:color w:val="FF0000"/>
          <w:u w:val="single"/>
        </w:rPr>
        <w:t xml:space="preserve"> or by </w:t>
      </w:r>
      <w:r>
        <w:rPr>
          <w:rFonts w:eastAsia="游明朝"/>
          <w:i/>
          <w:iCs/>
          <w:color w:val="FF0000"/>
          <w:u w:val="single"/>
        </w:rPr>
        <w:t>ssb-PositionsInBurst</w:t>
      </w:r>
      <w:r>
        <w:rPr>
          <w:rFonts w:eastAsia="游明朝"/>
          <w:color w:val="FF0000"/>
          <w:u w:val="single"/>
        </w:rPr>
        <w:t xml:space="preserve"> in </w:t>
      </w:r>
      <w:r>
        <w:rPr>
          <w:rFonts w:eastAsia="游明朝"/>
          <w:i/>
          <w:iCs/>
          <w:color w:val="FF0000"/>
          <w:u w:val="single"/>
        </w:rPr>
        <w:t>ServingCellConfigCommon</w:t>
      </w:r>
      <w:r>
        <w:rPr>
          <w:rFonts w:eastAsia="游明朝"/>
          <w:color w:val="FF0000"/>
          <w:u w:val="single"/>
        </w:rPr>
        <w:t xml:space="preserve"> </w:t>
      </w:r>
      <w:r>
        <w:rPr>
          <w:rFonts w:eastAsia="游明朝"/>
          <w:iCs/>
          <w:color w:val="FF0000"/>
          <w:u w:val="single"/>
        </w:rPr>
        <w:t>or</w:t>
      </w:r>
      <w:r>
        <w:rPr>
          <w:rFonts w:hint="default" w:eastAsia="游明朝"/>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pPr>
        <w:pStyle w:val="111"/>
      </w:pPr>
      <w:r>
        <w:t>-</w:t>
      </w:r>
      <w:r>
        <w:tab/>
      </w:r>
      <w:r>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pPr>
        <w:pStyle w:val="111"/>
      </w:pPr>
      <w:r>
        <w:t>-</w:t>
      </w:r>
      <w:r>
        <w:tab/>
      </w:r>
      <w:r>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p>
      <w:pPr>
        <w:bidi w:val="0"/>
        <w:spacing w:before="120" w:line="280" w:lineRule="atLeast"/>
      </w:pPr>
      <w:r>
        <w:rPr>
          <w:b/>
          <w:iCs/>
          <w:color w:val="FF0000"/>
          <w:sz w:val="28"/>
        </w:rPr>
        <w:t>&lt;Unchanged parts are omitted&gt;</w:t>
      </w:r>
    </w:p>
    <w:p>
      <w:pPr>
        <w:pStyle w:val="6"/>
        <w:rPr>
          <w:lang w:eastAsia="zh-CN"/>
        </w:rPr>
      </w:pPr>
      <w:bookmarkStart w:id="17" w:name="_Toc106695665"/>
      <w:r>
        <w:rPr>
          <w:lang w:eastAsia="zh-CN"/>
        </w:rPr>
        <w:t>6.1.2.3.1</w:t>
      </w:r>
      <w:r>
        <w:rPr>
          <w:lang w:eastAsia="zh-CN"/>
        </w:rPr>
        <w:tab/>
      </w:r>
      <w:r>
        <w:rPr>
          <w:lang w:eastAsia="zh-CN"/>
        </w:rPr>
        <w:t>Transport Block repetition for uplink transmissions of PUSCH repetition Type A with a configured grant</w:t>
      </w:r>
      <w:bookmarkEnd w:id="17"/>
    </w:p>
    <w:p>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pPr>
        <w:pStyle w:val="111"/>
      </w:pPr>
      <w:r>
        <w:t>-</w:t>
      </w:r>
      <w:r>
        <w:tab/>
      </w:r>
      <w:r>
        <w:t>For unpaired spectrum:</w:t>
      </w:r>
    </w:p>
    <w:p>
      <w:pPr>
        <w:pStyle w:val="112"/>
      </w:pPr>
      <w:r>
        <w:t>-</w:t>
      </w:r>
      <w:r>
        <w:tab/>
      </w:r>
      <w:r>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pPr>
        <w:pStyle w:val="113"/>
      </w:pPr>
      <w:r>
        <w:t>-</w:t>
      </w:r>
      <w:r>
        <w:tab/>
      </w:r>
      <w:r>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rPr>
          <w:rFonts w:hint="default"/>
          <w:i/>
          <w:iCs/>
          <w:color w:val="FF0000"/>
          <w:u w:val="single"/>
          <w:lang w:val="en-US"/>
        </w:rPr>
        <w:t xml:space="preserve"> </w:t>
      </w:r>
      <w:r>
        <w:rPr>
          <w:rFonts w:eastAsia="游明朝"/>
          <w:color w:val="FF0000"/>
          <w:u w:val="single"/>
        </w:rPr>
        <w:t xml:space="preserve">in </w:t>
      </w:r>
      <w:r>
        <w:rPr>
          <w:rFonts w:eastAsia="游明朝"/>
          <w:i/>
          <w:iCs/>
          <w:color w:val="FF0000"/>
          <w:u w:val="single"/>
        </w:rPr>
        <w:t>SIB1</w:t>
      </w:r>
      <w:r>
        <w:rPr>
          <w:rFonts w:eastAsia="游明朝"/>
          <w:color w:val="FF0000"/>
          <w:u w:val="single"/>
        </w:rPr>
        <w:t xml:space="preserve"> or by </w:t>
      </w:r>
      <w:r>
        <w:rPr>
          <w:rFonts w:eastAsia="游明朝"/>
          <w:i/>
          <w:iCs/>
          <w:color w:val="FF0000"/>
          <w:u w:val="single"/>
        </w:rPr>
        <w:t>ssb-PositionsInBurst</w:t>
      </w:r>
      <w:r>
        <w:rPr>
          <w:rFonts w:eastAsia="游明朝"/>
          <w:color w:val="FF0000"/>
          <w:u w:val="single"/>
        </w:rPr>
        <w:t xml:space="preserve"> in </w:t>
      </w:r>
      <w:r>
        <w:rPr>
          <w:rFonts w:eastAsia="游明朝"/>
          <w:i/>
          <w:iCs/>
          <w:color w:val="FF0000"/>
          <w:u w:val="single"/>
        </w:rPr>
        <w:t>ServingCellConfigCommon</w:t>
      </w:r>
      <w:r>
        <w:rPr>
          <w:rFonts w:eastAsia="游明朝"/>
          <w:color w:val="FF0000"/>
          <w:u w:val="single"/>
        </w:rPr>
        <w:t xml:space="preserve"> </w:t>
      </w:r>
      <w:r>
        <w:rPr>
          <w:rFonts w:eastAsia="游明朝"/>
          <w:iCs/>
          <w:color w:val="FF0000"/>
          <w:u w:val="single"/>
        </w:rPr>
        <w:t>or</w:t>
      </w:r>
      <w:r>
        <w:rPr>
          <w:rFonts w:hint="default" w:eastAsia="游明朝"/>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pPr>
        <w:pStyle w:val="112"/>
      </w:pPr>
      <w:r>
        <w:t>-</w:t>
      </w:r>
      <w:r>
        <w:tab/>
      </w:r>
      <w:r>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14:textFill>
            <w14:solidFill>
              <w14:schemeClr w14:val="tx1"/>
            </w14:solidFill>
          </w14:textFill>
        </w:rPr>
        <w:t xml:space="preserve"> cg-nrofSlots</w:t>
      </w:r>
      <w:r>
        <w:rPr>
          <w:color w:val="000000" w:themeColor="text1"/>
          <w:lang w:eastAsia="zh-CN"/>
          <w14:textFill>
            <w14:solidFill>
              <w14:schemeClr w14:val="tx1"/>
            </w14:solidFill>
          </w14:textFill>
        </w:rPr>
        <w:t xml:space="preserve"> and </w:t>
      </w:r>
      <w:r>
        <w:rPr>
          <w:i/>
          <w:color w:val="000000" w:themeColor="text1"/>
          <w:lang w:eastAsia="zh-CN"/>
          <w14:textFill>
            <w14:solidFill>
              <w14:schemeClr w14:val="tx1"/>
            </w14:solidFill>
          </w14:textFill>
        </w:rPr>
        <w:t>cg-nrofPUSCH-InSlot</w:t>
      </w:r>
      <w:r>
        <w:rPr>
          <w:color w:val="000000" w:themeColor="text1"/>
          <w:lang w:eastAsia="zh-CN"/>
          <w14:textFill>
            <w14:solidFill>
              <w14:schemeClr w14:val="tx1"/>
            </w14:solidFill>
          </w14:textFill>
        </w:rPr>
        <w:t xml:space="preserve">, in which case the UE repeats the TB in the </w:t>
      </w:r>
      <w:r>
        <w:rPr>
          <w:i/>
        </w:rPr>
        <w:t>rep</w:t>
      </w:r>
      <w:r>
        <w:rPr>
          <w:i/>
          <w:iCs/>
        </w:rPr>
        <w:t>K</w:t>
      </w:r>
      <w:r>
        <w:t xml:space="preserve"> </w:t>
      </w:r>
      <w:r>
        <w:rPr>
          <w:color w:val="000000" w:themeColor="text1"/>
          <w:lang w:eastAsia="zh-CN"/>
          <w14:textFill>
            <w14:solidFill>
              <w14:schemeClr w14:val="tx1"/>
            </w14:solidFill>
          </w14:textFill>
        </w:rPr>
        <w:t>earliest consecutive transmission occasion candidates within the same configuration</w:t>
      </w:r>
      <w:r>
        <w:t>.</w:t>
      </w:r>
    </w:p>
    <w:p>
      <w:pPr>
        <w:pStyle w:val="111"/>
      </w:pPr>
      <w:r>
        <w:t>-</w:t>
      </w:r>
      <w:r>
        <w:tab/>
      </w:r>
      <w:r>
        <w:t>For paired spectrum and SUL band:</w:t>
      </w:r>
    </w:p>
    <w:p>
      <w:pPr>
        <w:pStyle w:val="112"/>
      </w:pPr>
      <w:r>
        <w:t>-</w:t>
      </w:r>
      <w:r>
        <w:tab/>
      </w:r>
      <w:r>
        <w:rPr>
          <w:lang w:val="en-GB"/>
        </w:rPr>
        <w:t>T</w:t>
      </w:r>
      <w:r>
        <w:t xml:space="preserve">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14:textFill>
            <w14:solidFill>
              <w14:schemeClr w14:val="tx1"/>
            </w14:solidFill>
          </w14:textFill>
        </w:rPr>
        <w:t xml:space="preserve"> cg-nrofSlots</w:t>
      </w:r>
      <w:r>
        <w:rPr>
          <w:color w:val="000000" w:themeColor="text1"/>
          <w:lang w:eastAsia="zh-CN"/>
          <w14:textFill>
            <w14:solidFill>
              <w14:schemeClr w14:val="tx1"/>
            </w14:solidFill>
          </w14:textFill>
        </w:rPr>
        <w:t xml:space="preserve"> and </w:t>
      </w:r>
      <w:r>
        <w:rPr>
          <w:i/>
          <w:color w:val="000000" w:themeColor="text1"/>
          <w:lang w:eastAsia="zh-CN"/>
          <w14:textFill>
            <w14:solidFill>
              <w14:schemeClr w14:val="tx1"/>
            </w14:solidFill>
          </w14:textFill>
        </w:rPr>
        <w:t>cg-nrofPUSCH-InSlot</w:t>
      </w:r>
      <w:r>
        <w:rPr>
          <w:color w:val="000000" w:themeColor="text1"/>
          <w:lang w:eastAsia="zh-CN"/>
          <w14:textFill>
            <w14:solidFill>
              <w14:schemeClr w14:val="tx1"/>
            </w14:solidFill>
          </w14:textFill>
        </w:rPr>
        <w:t xml:space="preserve">, in which case the UE repeats the TB in the </w:t>
      </w:r>
      <w:r>
        <w:rPr>
          <w:i/>
        </w:rPr>
        <w:t>rep</w:t>
      </w:r>
      <w:r>
        <w:rPr>
          <w:i/>
          <w:iCs/>
        </w:rPr>
        <w:t>K</w:t>
      </w:r>
      <w:r>
        <w:t xml:space="preserve"> </w:t>
      </w:r>
      <w:r>
        <w:rPr>
          <w:color w:val="000000" w:themeColor="text1"/>
          <w:lang w:eastAsia="zh-CN"/>
          <w14:textFill>
            <w14:solidFill>
              <w14:schemeClr w14:val="tx1"/>
            </w14:solidFill>
          </w14:textFill>
        </w:rPr>
        <w:t>earliest consecutive transmission occasion candidates within the same configuration</w:t>
      </w:r>
      <w:r>
        <w:t>.</w:t>
      </w:r>
    </w:p>
    <w:p>
      <w:pPr>
        <w:pStyle w:val="112"/>
      </w:pPr>
      <w:r>
        <w:t>-</w:t>
      </w:r>
      <w:r>
        <w:tab/>
      </w:r>
      <w:r>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w:t>
      </w:r>
      <w:r>
        <w:rPr>
          <w:color w:val="000000"/>
        </w:rPr>
        <w:t xml:space="preserve">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rPr>
          <w:rFonts w:hint="default"/>
          <w:i/>
          <w:iCs/>
          <w:color w:val="FF0000"/>
          <w:u w:val="single"/>
          <w:lang w:val="en-US"/>
        </w:rPr>
        <w:t xml:space="preserve"> </w:t>
      </w:r>
      <w:r>
        <w:rPr>
          <w:rFonts w:eastAsia="游明朝"/>
          <w:color w:val="FF0000"/>
          <w:u w:val="single"/>
        </w:rPr>
        <w:t xml:space="preserve">in </w:t>
      </w:r>
      <w:r>
        <w:rPr>
          <w:rFonts w:eastAsia="游明朝"/>
          <w:i/>
          <w:iCs/>
          <w:color w:val="FF0000"/>
          <w:u w:val="single"/>
        </w:rPr>
        <w:t>SIB1</w:t>
      </w:r>
      <w:r>
        <w:rPr>
          <w:rFonts w:eastAsia="游明朝"/>
          <w:color w:val="FF0000"/>
          <w:u w:val="single"/>
        </w:rPr>
        <w:t xml:space="preserve"> or by </w:t>
      </w:r>
      <w:r>
        <w:rPr>
          <w:rFonts w:eastAsia="游明朝"/>
          <w:i/>
          <w:iCs/>
          <w:color w:val="FF0000"/>
          <w:u w:val="single"/>
        </w:rPr>
        <w:t>ssb-PositionsInBurst</w:t>
      </w:r>
      <w:r>
        <w:rPr>
          <w:rFonts w:eastAsia="游明朝"/>
          <w:color w:val="FF0000"/>
          <w:u w:val="single"/>
        </w:rPr>
        <w:t xml:space="preserve"> in </w:t>
      </w:r>
      <w:r>
        <w:rPr>
          <w:rFonts w:eastAsia="游明朝"/>
          <w:i/>
          <w:iCs/>
          <w:color w:val="FF0000"/>
          <w:u w:val="single"/>
        </w:rPr>
        <w:t>ServingCellConfigCommon</w:t>
      </w:r>
      <w:r>
        <w:rPr>
          <w:rFonts w:eastAsia="游明朝"/>
          <w:color w:val="FF0000"/>
          <w:u w:val="single"/>
        </w:rPr>
        <w:t xml:space="preserve"> </w:t>
      </w:r>
      <w:r>
        <w:rPr>
          <w:rFonts w:eastAsia="游明朝"/>
          <w:iCs/>
          <w:color w:val="FF0000"/>
          <w:u w:val="single"/>
        </w:rPr>
        <w:t>or</w:t>
      </w:r>
      <w:r>
        <w:rPr>
          <w:rFonts w:hint="default" w:eastAsia="游明朝"/>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pPr>
        <w:rPr>
          <w:color w:val="000000"/>
        </w:rPr>
      </w:pPr>
    </w:p>
    <w:p>
      <w:pPr>
        <w:bidi w:val="0"/>
        <w:spacing w:before="120" w:line="280" w:lineRule="atLeast"/>
        <w:rPr>
          <w:rFonts w:hint="default"/>
          <w:vertAlign w:val="baseline"/>
          <w:lang w:val="en-US" w:eastAsia="zh-CN"/>
        </w:rPr>
      </w:pPr>
      <w:r>
        <w:rPr>
          <w:b/>
          <w:iCs/>
          <w:color w:val="FF0000"/>
          <w:sz w:val="28"/>
        </w:rPr>
        <w:t>&lt;Unchanged parts are omitted&gt;</w:t>
      </w:r>
    </w:p>
    <w:p>
      <w:pPr>
        <w:pStyle w:val="6"/>
        <w:rPr>
          <w:lang w:eastAsia="zh-CN"/>
        </w:rPr>
      </w:pPr>
      <w:bookmarkStart w:id="18" w:name="_Toc106695667"/>
      <w:r>
        <w:rPr>
          <w:lang w:eastAsia="zh-CN"/>
        </w:rPr>
        <w:t>6.1.2.3.3</w:t>
      </w:r>
      <w:r>
        <w:rPr>
          <w:lang w:eastAsia="zh-CN"/>
        </w:rPr>
        <w:tab/>
      </w:r>
      <w:r>
        <w:rPr>
          <w:lang w:eastAsia="zh-CN"/>
        </w:rPr>
        <w:t>Transport Block repetition for uplink transmissions of TB processing over multiple slots with a configured grant</w:t>
      </w:r>
      <w:bookmarkEnd w:id="18"/>
    </w:p>
    <w:p>
      <w:pPr>
        <w:rPr>
          <w:rFonts w:eastAsia="Times New Roman"/>
          <w:color w:val="000000"/>
        </w:rPr>
      </w:pPr>
      <w:r>
        <w:rPr>
          <w:rFonts w:eastAsia="Times New Roman"/>
          <w:color w:val="000000"/>
        </w:rPr>
        <w:t>For unpaired spectrum:</w:t>
      </w:r>
    </w:p>
    <w:p>
      <w:pPr>
        <w:pStyle w:val="111"/>
      </w:pPr>
      <w:r>
        <w:t>-</w:t>
      </w:r>
      <w:r>
        <w:tab/>
      </w:r>
      <w:r>
        <w:t xml:space="preserve">The UE determines </w:t>
      </w:r>
      <m:oMath>
        <m:r>
          <w:rPr>
            <w:rFonts w:ascii="Cambria Math" w:hAnsi="Cambria Math"/>
          </w:rPr>
          <m:t>N∙K</m:t>
        </m:r>
      </m:oMath>
      <w:r>
        <w:t xml:space="preserve"> slots for a PUSCH transmission of TB processing over multiple slots with a Type 2 configured grant activated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pPr>
        <w:pStyle w:val="112"/>
      </w:pPr>
      <w:r>
        <w:t>-</w:t>
      </w:r>
      <w:r>
        <w:tab/>
      </w:r>
      <w:r>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rPr>
          <w:rFonts w:hint="default"/>
          <w:i/>
          <w:iCs/>
          <w:color w:val="FF0000"/>
          <w:u w:val="single"/>
          <w:lang w:val="en-US"/>
        </w:rPr>
        <w:t xml:space="preserve"> </w:t>
      </w:r>
      <w:r>
        <w:rPr>
          <w:rFonts w:eastAsia="游明朝"/>
          <w:color w:val="FF0000"/>
          <w:u w:val="single"/>
        </w:rPr>
        <w:t xml:space="preserve">in </w:t>
      </w:r>
      <w:r>
        <w:rPr>
          <w:rFonts w:eastAsia="游明朝"/>
          <w:i/>
          <w:iCs/>
          <w:color w:val="FF0000"/>
          <w:u w:val="single"/>
        </w:rPr>
        <w:t>SIB1</w:t>
      </w:r>
      <w:r>
        <w:rPr>
          <w:rFonts w:eastAsia="游明朝"/>
          <w:color w:val="FF0000"/>
          <w:u w:val="single"/>
        </w:rPr>
        <w:t xml:space="preserve"> or by </w:t>
      </w:r>
      <w:r>
        <w:rPr>
          <w:rFonts w:eastAsia="游明朝"/>
          <w:i/>
          <w:iCs/>
          <w:color w:val="FF0000"/>
          <w:u w:val="single"/>
        </w:rPr>
        <w:t>ssb-PositionsInBurst</w:t>
      </w:r>
      <w:r>
        <w:rPr>
          <w:rFonts w:eastAsia="游明朝"/>
          <w:color w:val="FF0000"/>
          <w:u w:val="single"/>
        </w:rPr>
        <w:t xml:space="preserve"> in </w:t>
      </w:r>
      <w:r>
        <w:rPr>
          <w:rFonts w:eastAsia="游明朝"/>
          <w:i/>
          <w:iCs/>
          <w:color w:val="FF0000"/>
          <w:u w:val="single"/>
        </w:rPr>
        <w:t>ServingCellConfigCommon</w:t>
      </w:r>
      <w:r>
        <w:rPr>
          <w:rFonts w:eastAsia="游明朝"/>
          <w:color w:val="FF0000"/>
          <w:u w:val="single"/>
        </w:rPr>
        <w:t xml:space="preserve"> </w:t>
      </w:r>
      <w:r>
        <w:rPr>
          <w:rFonts w:eastAsia="游明朝"/>
          <w:iCs/>
          <w:color w:val="FF0000"/>
          <w:u w:val="single"/>
        </w:rPr>
        <w:t>or</w:t>
      </w:r>
      <w:r>
        <w:rPr>
          <w:rFonts w:hint="default" w:eastAsia="游明朝"/>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pPr>
        <w:rPr>
          <w:rFonts w:eastAsia="Times New Roman"/>
          <w:color w:val="000000"/>
        </w:rPr>
      </w:pPr>
      <w:r>
        <w:rPr>
          <w:rFonts w:eastAsia="Times New Roman"/>
          <w:color w:val="000000"/>
        </w:rPr>
        <w:t>For paired spectrum and SUL band:</w:t>
      </w:r>
    </w:p>
    <w:p>
      <w:pPr>
        <w:pStyle w:val="111"/>
      </w:pPr>
      <w:r>
        <w:t>-</w:t>
      </w:r>
      <w:r>
        <w:tab/>
      </w:r>
      <w:r>
        <w:t xml:space="preserve">The UE determines </w:t>
      </w:r>
      <m:oMath>
        <m:r>
          <w:rPr>
            <w:rFonts w:ascii="Cambria Math" w:hAnsi="Cambria Math"/>
          </w:rPr>
          <m:t>N∙K</m:t>
        </m:r>
      </m:oMath>
      <w:r>
        <w:t xml:space="preserve"> consecutive slots for a PUSCH transmission of TB processing over multiple slots with a Type 2 configured grant activated by DCI format 0_1 or 0_2, based on the TDRA information field value in the DCI format 0_1 or 0_2.</w:t>
      </w:r>
    </w:p>
    <w:p>
      <w:pPr>
        <w:pStyle w:val="111"/>
      </w:pPr>
      <w:r>
        <w:t>-</w:t>
      </w:r>
      <w:r>
        <w:tab/>
      </w:r>
      <w:r>
        <w:t xml:space="preserve">For the case of a reduced capability half-duplex UE, the UE determines </w:t>
      </w:r>
      <m:oMath>
        <m:r>
          <w:rPr>
            <w:rFonts w:ascii="Cambria Math" w:hAnsi="Cambria Math"/>
          </w:rPr>
          <m:t>N∙K</m:t>
        </m:r>
      </m:oMath>
      <w:r>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ssb-PositionsInBurst</w:t>
      </w:r>
      <w:r>
        <w:rPr>
          <w:rFonts w:hint="default"/>
          <w:i/>
          <w:iCs/>
          <w:color w:val="FF0000"/>
          <w:u w:val="single"/>
          <w:lang w:val="en-US"/>
        </w:rPr>
        <w:t xml:space="preserve"> </w:t>
      </w:r>
      <w:r>
        <w:rPr>
          <w:rFonts w:eastAsia="游明朝"/>
          <w:color w:val="FF0000"/>
          <w:u w:val="single"/>
        </w:rPr>
        <w:t xml:space="preserve">in </w:t>
      </w:r>
      <w:r>
        <w:rPr>
          <w:rFonts w:eastAsia="游明朝"/>
          <w:i/>
          <w:iCs/>
          <w:color w:val="FF0000"/>
          <w:u w:val="single"/>
        </w:rPr>
        <w:t>SIB1</w:t>
      </w:r>
      <w:r>
        <w:rPr>
          <w:rFonts w:eastAsia="游明朝"/>
          <w:color w:val="FF0000"/>
          <w:u w:val="single"/>
        </w:rPr>
        <w:t xml:space="preserve"> or by </w:t>
      </w:r>
      <w:r>
        <w:rPr>
          <w:rFonts w:eastAsia="游明朝"/>
          <w:i/>
          <w:iCs/>
          <w:color w:val="FF0000"/>
          <w:u w:val="single"/>
        </w:rPr>
        <w:t>ssb-PositionsInBurst</w:t>
      </w:r>
      <w:r>
        <w:rPr>
          <w:rFonts w:eastAsia="游明朝"/>
          <w:color w:val="FF0000"/>
          <w:u w:val="single"/>
        </w:rPr>
        <w:t xml:space="preserve"> in </w:t>
      </w:r>
      <w:r>
        <w:rPr>
          <w:rFonts w:eastAsia="游明朝"/>
          <w:i/>
          <w:iCs/>
          <w:color w:val="FF0000"/>
          <w:u w:val="single"/>
        </w:rPr>
        <w:t>ServingCellConfigCommon</w:t>
      </w:r>
      <w:r>
        <w:rPr>
          <w:rFonts w:eastAsia="游明朝"/>
          <w:color w:val="FF0000"/>
          <w:u w:val="single"/>
        </w:rPr>
        <w:t xml:space="preserve"> </w:t>
      </w:r>
      <w:r>
        <w:rPr>
          <w:rFonts w:eastAsia="游明朝"/>
          <w:iCs/>
          <w:color w:val="FF0000"/>
          <w:u w:val="single"/>
        </w:rPr>
        <w:t>or</w:t>
      </w:r>
      <w:r>
        <w:rPr>
          <w:rFonts w:hint="default" w:eastAsia="游明朝"/>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pPr>
        <w:bidi w:val="0"/>
        <w:spacing w:before="120" w:line="280" w:lineRule="atLeast"/>
        <w:rPr>
          <w:rFonts w:hint="default"/>
          <w:vertAlign w:val="baseline"/>
          <w:lang w:val="en-US" w:eastAsia="zh-CN"/>
        </w:rPr>
      </w:pPr>
      <w:r>
        <w:rPr>
          <w:b/>
          <w:iCs/>
          <w:color w:val="FF0000"/>
          <w:sz w:val="28"/>
        </w:rPr>
        <w:t>&lt;Unchanged parts are omitted&gt;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UI Semilight">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D1166F"/>
    <w:rsid w:val="060530CF"/>
    <w:rsid w:val="095F7B6B"/>
    <w:rsid w:val="0FE11E2F"/>
    <w:rsid w:val="100D2418"/>
    <w:rsid w:val="108128B6"/>
    <w:rsid w:val="11795505"/>
    <w:rsid w:val="121D6988"/>
    <w:rsid w:val="12FE71E1"/>
    <w:rsid w:val="132F5B05"/>
    <w:rsid w:val="16901BD3"/>
    <w:rsid w:val="18E156D4"/>
    <w:rsid w:val="1D6747DA"/>
    <w:rsid w:val="23082FF3"/>
    <w:rsid w:val="23F021A2"/>
    <w:rsid w:val="2504350C"/>
    <w:rsid w:val="258305F0"/>
    <w:rsid w:val="2660035A"/>
    <w:rsid w:val="27D629DD"/>
    <w:rsid w:val="28D74209"/>
    <w:rsid w:val="29C7379B"/>
    <w:rsid w:val="2C531A44"/>
    <w:rsid w:val="2CAE3862"/>
    <w:rsid w:val="2CD91AD9"/>
    <w:rsid w:val="2D144FBE"/>
    <w:rsid w:val="2D92105F"/>
    <w:rsid w:val="2D9846E7"/>
    <w:rsid w:val="30D15421"/>
    <w:rsid w:val="30DE0599"/>
    <w:rsid w:val="314E2AD2"/>
    <w:rsid w:val="34FB03FF"/>
    <w:rsid w:val="35802D75"/>
    <w:rsid w:val="35AC0DCE"/>
    <w:rsid w:val="35EC292D"/>
    <w:rsid w:val="368611E2"/>
    <w:rsid w:val="36FE44E2"/>
    <w:rsid w:val="371252EA"/>
    <w:rsid w:val="38EA5B5D"/>
    <w:rsid w:val="3B472615"/>
    <w:rsid w:val="3C174EA9"/>
    <w:rsid w:val="3D6B0E83"/>
    <w:rsid w:val="3F717620"/>
    <w:rsid w:val="3FE2657F"/>
    <w:rsid w:val="40AD6321"/>
    <w:rsid w:val="411D565E"/>
    <w:rsid w:val="4186524D"/>
    <w:rsid w:val="442845E0"/>
    <w:rsid w:val="46864F97"/>
    <w:rsid w:val="46EA10E7"/>
    <w:rsid w:val="4827410B"/>
    <w:rsid w:val="483F208D"/>
    <w:rsid w:val="4A307DC1"/>
    <w:rsid w:val="4AF420C1"/>
    <w:rsid w:val="4D0A7980"/>
    <w:rsid w:val="4D95066A"/>
    <w:rsid w:val="50291C0C"/>
    <w:rsid w:val="557E3E9E"/>
    <w:rsid w:val="56E84D96"/>
    <w:rsid w:val="57BD6D53"/>
    <w:rsid w:val="5894466A"/>
    <w:rsid w:val="59690C95"/>
    <w:rsid w:val="5A721965"/>
    <w:rsid w:val="5B622144"/>
    <w:rsid w:val="5BCE74FF"/>
    <w:rsid w:val="5BE32F8B"/>
    <w:rsid w:val="5C2E106B"/>
    <w:rsid w:val="5D647E4D"/>
    <w:rsid w:val="5E1A42F3"/>
    <w:rsid w:val="610B7469"/>
    <w:rsid w:val="631F6294"/>
    <w:rsid w:val="65CB1B40"/>
    <w:rsid w:val="674B115D"/>
    <w:rsid w:val="684C17B2"/>
    <w:rsid w:val="69A235DB"/>
    <w:rsid w:val="69FF0B0D"/>
    <w:rsid w:val="6A4A63C4"/>
    <w:rsid w:val="6BDC206D"/>
    <w:rsid w:val="6C441E93"/>
    <w:rsid w:val="6CB8404C"/>
    <w:rsid w:val="6DB8537A"/>
    <w:rsid w:val="6E791DCC"/>
    <w:rsid w:val="6F5D4925"/>
    <w:rsid w:val="70D73DA8"/>
    <w:rsid w:val="71F3248C"/>
    <w:rsid w:val="72181CD8"/>
    <w:rsid w:val="7560609B"/>
    <w:rsid w:val="75BF76E4"/>
    <w:rsid w:val="75E90518"/>
    <w:rsid w:val="77707001"/>
    <w:rsid w:val="78EF50DF"/>
    <w:rsid w:val="793344C5"/>
    <w:rsid w:val="7A2D0481"/>
    <w:rsid w:val="7B957CF9"/>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9E899-C7CA-4FCE-A014-5E75C46CF79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1180</Words>
  <Characters>5913</Characters>
  <Lines>47</Lines>
  <Paragraphs>13</Paragraphs>
  <TotalTime>4</TotalTime>
  <ScaleCrop>false</ScaleCrop>
  <LinksUpToDate>false</LinksUpToDate>
  <CharactersWithSpaces>7003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2022-08-12T05:52:38Z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